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0A" w:rsidRDefault="00A40F0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6929D475">
            <wp:extent cx="2028825" cy="1485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377" w:rsidRPr="00B101A9" w:rsidRDefault="008C5377" w:rsidP="008C5377">
      <w:pPr>
        <w:spacing w:after="0" w:line="240" w:lineRule="auto"/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8C5377" w:rsidRPr="00B101A9" w:rsidTr="007054DA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C5377" w:rsidRPr="00DD4739" w:rsidRDefault="008C5377" w:rsidP="007054D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4739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8C5377" w:rsidRPr="00B101A9" w:rsidRDefault="008C5377" w:rsidP="007054DA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D4739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8C5377" w:rsidRDefault="008C5377" w:rsidP="008C5377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8C5377" w:rsidRDefault="008C5377" w:rsidP="008C5377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8C5377" w:rsidRDefault="008C5377" w:rsidP="008C5377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A40F0A" w:rsidRPr="00A40F0A" w:rsidRDefault="00136601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CONTESTAZIONI </w:t>
      </w:r>
    </w:p>
    <w:p w:rsidR="00FF223C" w:rsidRDefault="00136601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E </w:t>
      </w:r>
      <w:r w:rsidR="00B61EDA">
        <w:rPr>
          <w:rFonts w:ascii="Times New Roman" w:hAnsi="Times New Roman" w:cs="Times New Roman"/>
          <w:b/>
          <w:sz w:val="72"/>
          <w:szCs w:val="72"/>
        </w:rPr>
        <w:t>CONTENZIOSO</w:t>
      </w:r>
    </w:p>
    <w:p w:rsidR="0069477D" w:rsidRPr="0069477D" w:rsidRDefault="00B61ED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SUI CONTRATTI BANCARI</w:t>
      </w:r>
    </w:p>
    <w:p w:rsidR="00847761" w:rsidRDefault="00847761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7D" w:rsidRDefault="0069477D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377" w:rsidRDefault="008C5377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377" w:rsidRDefault="008C5377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377" w:rsidRDefault="008C5377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F0A" w:rsidRPr="00D37556" w:rsidRDefault="00D37556" w:rsidP="00D375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 collaborazione con</w:t>
      </w:r>
    </w:p>
    <w:p w:rsidR="00A40F0A" w:rsidRDefault="00A40F0A" w:rsidP="00B61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F0A" w:rsidRDefault="00C17416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8F">
        <w:rPr>
          <w:noProof/>
          <w:lang w:eastAsia="it-IT"/>
        </w:rPr>
        <w:drawing>
          <wp:inline distT="0" distB="0" distL="0" distR="0" wp14:anchorId="1C6B6693" wp14:editId="5F4AC4D5">
            <wp:extent cx="1800000" cy="870247"/>
            <wp:effectExtent l="0" t="0" r="0" b="6350"/>
            <wp:docPr id="2" name="Immagine 2" descr="\\Serverdati\comune\Associazioni\ASSO CTU\Materiale associazione\Logo 2012 Assoc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dati\comune\Associazioni\ASSO CTU\Materiale associazione\Logo 2012 Assoct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305" t="22908" r="12306" b="25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7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56" w:rsidRDefault="00D37556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7D" w:rsidRDefault="0069477D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0A" w:rsidRDefault="00DA36D4" w:rsidP="00DA3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Milano, </w:t>
      </w:r>
      <w:r w:rsidR="00D5204C">
        <w:rPr>
          <w:rFonts w:ascii="Times New Roman" w:hAnsi="Times New Roman" w:cs="Times New Roman"/>
          <w:b/>
          <w:sz w:val="24"/>
          <w:szCs w:val="24"/>
        </w:rPr>
        <w:t>11 – 12 - 13</w:t>
      </w:r>
      <w:r w:rsidR="00B61EDA">
        <w:rPr>
          <w:rFonts w:ascii="Times New Roman" w:hAnsi="Times New Roman" w:cs="Times New Roman"/>
          <w:b/>
          <w:sz w:val="24"/>
          <w:szCs w:val="24"/>
        </w:rPr>
        <w:t xml:space="preserve"> Novembre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A40F0A" w:rsidRDefault="00A40F0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556" w:rsidRDefault="00D37556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377" w:rsidRDefault="008C5377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0A" w:rsidRDefault="00EA39A9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Starhotels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Ritz</w:t>
      </w:r>
      <w:proofErr w:type="spellEnd"/>
    </w:p>
    <w:p w:rsidR="00A40F0A" w:rsidRDefault="00A40F0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0A" w:rsidRDefault="00A40F0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D4" w:rsidRPr="008C5377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proofErr w:type="spellStart"/>
      <w:r w:rsidRPr="008C5377">
        <w:rPr>
          <w:rFonts w:ascii="Albertus Extra Bold" w:hAnsi="Albertus Extra Bold"/>
          <w:b/>
          <w:sz w:val="16"/>
          <w:szCs w:val="16"/>
        </w:rPr>
        <w:t>Synergia</w:t>
      </w:r>
      <w:proofErr w:type="spellEnd"/>
      <w:r w:rsidRPr="008C5377">
        <w:rPr>
          <w:rFonts w:ascii="Albertus Extra Bold" w:hAnsi="Albertus Extra Bold"/>
          <w:b/>
          <w:sz w:val="16"/>
          <w:szCs w:val="16"/>
        </w:rPr>
        <w:t xml:space="preserve"> Formazione S.r.l – Via </w:t>
      </w:r>
      <w:proofErr w:type="spellStart"/>
      <w:r w:rsidRPr="008C5377">
        <w:rPr>
          <w:rFonts w:ascii="Albertus Extra Bold" w:hAnsi="Albertus Extra Bold"/>
          <w:b/>
          <w:sz w:val="16"/>
          <w:szCs w:val="16"/>
        </w:rPr>
        <w:t>Pomba</w:t>
      </w:r>
      <w:proofErr w:type="spellEnd"/>
      <w:r w:rsidRPr="008C5377">
        <w:rPr>
          <w:rFonts w:ascii="Albertus Extra Bold" w:hAnsi="Albertus Extra Bold"/>
          <w:b/>
          <w:sz w:val="16"/>
          <w:szCs w:val="16"/>
        </w:rPr>
        <w:t>, 14, 10123 – Torino</w:t>
      </w:r>
    </w:p>
    <w:p w:rsidR="00DA36D4" w:rsidRPr="008C5377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8C5377">
        <w:rPr>
          <w:rFonts w:ascii="Albertus Extra Bold" w:hAnsi="Albertus Extra Bold"/>
          <w:b/>
          <w:sz w:val="16"/>
          <w:szCs w:val="16"/>
        </w:rPr>
        <w:t>Tel. 011 812 91 12 – Fax 011 817 36 63 – C.F. e P. IVA 08906900017</w:t>
      </w:r>
    </w:p>
    <w:p w:rsidR="00DA36D4" w:rsidRPr="008C5377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8C5377">
        <w:rPr>
          <w:rFonts w:ascii="Albertus Extra Bold" w:hAnsi="Albertus Extra Bold"/>
          <w:b/>
          <w:sz w:val="16"/>
          <w:szCs w:val="16"/>
        </w:rPr>
        <w:t xml:space="preserve">E-mail: </w:t>
      </w:r>
      <w:hyperlink r:id="rId11" w:history="1">
        <w:r w:rsidRPr="008C5377">
          <w:rPr>
            <w:rStyle w:val="Collegamentoipertestuale"/>
            <w:rFonts w:ascii="Albertus Extra Bold" w:hAnsi="Albertus Extra Bold"/>
            <w:b/>
            <w:sz w:val="16"/>
            <w:szCs w:val="16"/>
          </w:rPr>
          <w:t>info@synergiaformazione.it</w:t>
        </w:r>
      </w:hyperlink>
      <w:r w:rsidRPr="008C5377">
        <w:rPr>
          <w:rFonts w:ascii="Albertus Extra Bold" w:hAnsi="Albertus Extra Bold"/>
          <w:b/>
          <w:sz w:val="16"/>
          <w:szCs w:val="16"/>
        </w:rPr>
        <w:t xml:space="preserve">  - </w:t>
      </w:r>
      <w:hyperlink r:id="rId12" w:history="1">
        <w:r w:rsidRPr="008C5377">
          <w:rPr>
            <w:rStyle w:val="Collegamentoipertestuale"/>
            <w:rFonts w:ascii="Albertus Extra Bold" w:hAnsi="Albertus Extra Bold"/>
            <w:b/>
            <w:sz w:val="16"/>
            <w:szCs w:val="16"/>
          </w:rPr>
          <w:t>www.synergiaformazione.it</w:t>
        </w:r>
      </w:hyperlink>
    </w:p>
    <w:p w:rsidR="008C5377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  <w:lang w:val="en-US"/>
        </w:rPr>
      </w:pPr>
      <w:r w:rsidRPr="008C5377">
        <w:rPr>
          <w:rFonts w:ascii="Albertus Extra Bold" w:hAnsi="Albertus Extra Bold"/>
          <w:b/>
          <w:sz w:val="16"/>
          <w:szCs w:val="16"/>
          <w:lang w:val="en-US"/>
        </w:rPr>
        <w:t xml:space="preserve">partnership with </w:t>
      </w:r>
      <w:proofErr w:type="spellStart"/>
      <w:r w:rsidRPr="008C5377">
        <w:rPr>
          <w:rFonts w:ascii="Albertus Extra Bold" w:hAnsi="Albertus Extra Bold"/>
          <w:b/>
          <w:sz w:val="16"/>
          <w:szCs w:val="16"/>
          <w:lang w:val="en-US"/>
        </w:rPr>
        <w:t>Synergia</w:t>
      </w:r>
      <w:proofErr w:type="spellEnd"/>
      <w:r w:rsidRPr="008C5377">
        <w:rPr>
          <w:rFonts w:ascii="Albertus Extra Bold" w:hAnsi="Albertus Extra Bold"/>
          <w:b/>
          <w:sz w:val="16"/>
          <w:szCs w:val="16"/>
          <w:lang w:val="en-US"/>
        </w:rPr>
        <w:t xml:space="preserve"> Consulting Group </w:t>
      </w:r>
      <w:proofErr w:type="spellStart"/>
      <w:r w:rsidRPr="008C5377">
        <w:rPr>
          <w:rFonts w:ascii="Albertus Extra Bold" w:hAnsi="Albertus Extra Bold"/>
          <w:b/>
          <w:sz w:val="16"/>
          <w:szCs w:val="16"/>
          <w:lang w:val="en-US"/>
        </w:rPr>
        <w:t>Alleanza</w:t>
      </w:r>
      <w:proofErr w:type="spellEnd"/>
      <w:r w:rsidRPr="008C5377"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  <w:proofErr w:type="spellStart"/>
      <w:r w:rsidRPr="008C5377">
        <w:rPr>
          <w:rFonts w:ascii="Albertus Extra Bold" w:hAnsi="Albertus Extra Bold"/>
          <w:b/>
          <w:sz w:val="16"/>
          <w:szCs w:val="16"/>
          <w:lang w:val="en-US"/>
        </w:rPr>
        <w:t>Professionale</w:t>
      </w:r>
      <w:proofErr w:type="spellEnd"/>
      <w:r w:rsidRPr="008C5377">
        <w:rPr>
          <w:rFonts w:ascii="Albertus Extra Bold" w:hAnsi="Albertus Extra Bold"/>
          <w:b/>
          <w:sz w:val="16"/>
          <w:szCs w:val="16"/>
          <w:lang w:val="en-US"/>
        </w:rPr>
        <w:t xml:space="preserve">  - </w:t>
      </w:r>
      <w:hyperlink r:id="rId13" w:history="1">
        <w:r w:rsidRPr="008C5377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www.synergiaconsulting.it</w:t>
        </w:r>
      </w:hyperlink>
    </w:p>
    <w:p w:rsidR="00DA36D4" w:rsidRPr="00EA47C1" w:rsidRDefault="00DA36D4" w:rsidP="00DA36D4">
      <w:pPr>
        <w:pStyle w:val="Pidipagina"/>
        <w:jc w:val="center"/>
        <w:rPr>
          <w:rFonts w:ascii="Albertus Extra Bold" w:hAnsi="Albertus Extra Bold"/>
          <w:b/>
          <w:sz w:val="16"/>
          <w:szCs w:val="16"/>
          <w:lang w:val="en-US"/>
        </w:rPr>
      </w:pPr>
      <w:r w:rsidRPr="00EA47C1">
        <w:rPr>
          <w:rFonts w:ascii="Albertus Extra Bold" w:hAnsi="Albertus Extra Bold"/>
          <w:b/>
          <w:sz w:val="16"/>
          <w:szCs w:val="16"/>
          <w:lang w:val="en-US"/>
        </w:rPr>
        <w:t xml:space="preserve">partnership with Arcadia Consulting – </w:t>
      </w:r>
      <w:hyperlink r:id="rId14" w:history="1">
        <w:r w:rsidRPr="00EA47C1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www.arcadia-consulting.it</w:t>
        </w:r>
      </w:hyperlink>
      <w:r w:rsidRPr="00EA47C1"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</w:p>
    <w:p w:rsidR="008C5377" w:rsidRDefault="008C5377" w:rsidP="00A40F0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INDICE DOCUMENTAZIONE PRIMA GIORNATA</w:t>
      </w:r>
    </w:p>
    <w:p w:rsidR="008C5377" w:rsidRDefault="008C5377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8A" w:rsidRDefault="009C008A" w:rsidP="00A40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0A" w:rsidRPr="009C008A" w:rsidRDefault="00051CAD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8A">
        <w:rPr>
          <w:rFonts w:ascii="Times New Roman" w:hAnsi="Times New Roman" w:cs="Times New Roman"/>
          <w:b/>
          <w:sz w:val="28"/>
          <w:szCs w:val="28"/>
        </w:rPr>
        <w:t>M</w:t>
      </w:r>
      <w:r w:rsidR="00D5204C" w:rsidRPr="009C008A">
        <w:rPr>
          <w:rFonts w:ascii="Times New Roman" w:hAnsi="Times New Roman" w:cs="Times New Roman"/>
          <w:b/>
          <w:sz w:val="28"/>
          <w:szCs w:val="28"/>
        </w:rPr>
        <w:t>artedì 11 novembre 2014</w:t>
      </w:r>
    </w:p>
    <w:p w:rsidR="00D5204C" w:rsidRPr="009C008A" w:rsidRDefault="00D5204C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8" w:rsidRPr="009C008A" w:rsidRDefault="00BE4528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47D" w:rsidRPr="009C008A" w:rsidRDefault="0022747D" w:rsidP="0022747D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trasparenza dei contratti bancari e lo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jus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variandi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della banca: finalità, limiti e recenti novità legislative</w:t>
      </w:r>
    </w:p>
    <w:p w:rsidR="0022747D" w:rsidRPr="009C008A" w:rsidRDefault="0022747D" w:rsidP="0022747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Prof. Avv.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Antonella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Sciarrone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Alibrandi</w:t>
      </w:r>
      <w:proofErr w:type="spellEnd"/>
    </w:p>
    <w:p w:rsidR="0022747D" w:rsidRPr="009C008A" w:rsidRDefault="0022747D" w:rsidP="002274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47D" w:rsidRPr="009C008A" w:rsidRDefault="0022747D" w:rsidP="002274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04C" w:rsidRPr="009C008A" w:rsidRDefault="00D5204C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3A15F3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’onere della prova e la vicinanza alla prova nelle contestazioni e nel contenzioso sui contratti bancari</w:t>
      </w:r>
    </w:p>
    <w:p w:rsidR="00D5204C" w:rsidRPr="009C008A" w:rsidRDefault="000B3DA7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Prof. Av</w:t>
      </w:r>
      <w:r w:rsidR="003A15F3"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v. Angelo A. </w:t>
      </w:r>
      <w:proofErr w:type="spellStart"/>
      <w:r w:rsidR="003A15F3" w:rsidRPr="009C008A">
        <w:rPr>
          <w:rFonts w:ascii="Times New Roman" w:eastAsia="Times New Roman" w:hAnsi="Times New Roman" w:cs="Times New Roman"/>
          <w:b/>
          <w:sz w:val="28"/>
          <w:szCs w:val="28"/>
        </w:rPr>
        <w:t>Dolmetta</w:t>
      </w:r>
      <w:proofErr w:type="spellEnd"/>
    </w:p>
    <w:p w:rsidR="00D5204C" w:rsidRPr="009C008A" w:rsidRDefault="00D5204C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04C" w:rsidRPr="009C008A" w:rsidRDefault="00D5204C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Il conto corrente</w:t>
      </w:r>
      <w:r w:rsidR="003D275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ordinario, </w:t>
      </w: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il conto corrente c.d. “per corrispondenza”</w:t>
      </w:r>
      <w:r w:rsidR="003D275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l’apertura di credito</w:t>
      </w:r>
    </w:p>
    <w:p w:rsidR="00D5204C" w:rsidRPr="009C008A" w:rsidRDefault="003D275D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Dott. Bartolomeo </w:t>
      </w:r>
      <w:proofErr w:type="spellStart"/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Quatraro</w:t>
      </w:r>
      <w:proofErr w:type="spellEnd"/>
    </w:p>
    <w:p w:rsidR="00D5204C" w:rsidRPr="009C008A" w:rsidRDefault="00D5204C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04C" w:rsidRPr="009C008A" w:rsidRDefault="00D5204C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Lo sconto bancario e l’anticipazione bancaria</w:t>
      </w:r>
    </w:p>
    <w:p w:rsidR="00D5204C" w:rsidRPr="009C008A" w:rsidRDefault="003D275D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Dott. Bartolomeo </w:t>
      </w:r>
      <w:proofErr w:type="spellStart"/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Quatraro</w:t>
      </w:r>
      <w:proofErr w:type="spellEnd"/>
    </w:p>
    <w:p w:rsidR="00D5204C" w:rsidRPr="009C008A" w:rsidRDefault="00D5204C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47D" w:rsidRPr="009C008A" w:rsidRDefault="0022747D" w:rsidP="0022747D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 clausole vessatorie e le clausole abusive nei contratti bancari: evoluzione normativa e giurisprudenziale</w:t>
      </w:r>
    </w:p>
    <w:p w:rsidR="0022747D" w:rsidRPr="009C008A" w:rsidRDefault="0022747D" w:rsidP="0022747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Prof. Avv.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Marcello Condemi</w:t>
      </w:r>
    </w:p>
    <w:p w:rsidR="0022747D" w:rsidRPr="009C008A" w:rsidRDefault="0022747D" w:rsidP="002274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47D" w:rsidRPr="009C008A" w:rsidRDefault="0022747D" w:rsidP="002274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21F" w:rsidRPr="009C008A" w:rsidRDefault="00FD221F" w:rsidP="009C008A">
      <w:pPr>
        <w:pStyle w:val="Paragrafoelenco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Le azioni dei clienti e la difesa delle banche</w:t>
      </w:r>
    </w:p>
    <w:p w:rsidR="00FD221F" w:rsidRPr="009C008A" w:rsidRDefault="00FD221F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Avv. Alfonso Quintarelli</w:t>
      </w:r>
    </w:p>
    <w:p w:rsidR="001A29D5" w:rsidRPr="009C008A" w:rsidRDefault="001A29D5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04C" w:rsidRPr="009C008A" w:rsidRDefault="00D5204C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Le pronunce dell’ABF, dei Tribunali di merito e della Corte di Cassazione</w:t>
      </w:r>
    </w:p>
    <w:p w:rsidR="00D5204C" w:rsidRPr="009C008A" w:rsidRDefault="004D30F4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Avv. Emilio Girino</w:t>
      </w:r>
    </w:p>
    <w:p w:rsidR="00382E5D" w:rsidRPr="009C008A" w:rsidRDefault="0055773B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Dott. </w:t>
      </w:r>
      <w:r w:rsidR="00DD3192"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Vittorio </w:t>
      </w:r>
      <w:proofErr w:type="spellStart"/>
      <w:r w:rsidR="00DD3192" w:rsidRPr="009C008A">
        <w:rPr>
          <w:rFonts w:ascii="Times New Roman" w:eastAsia="Times New Roman" w:hAnsi="Times New Roman" w:cs="Times New Roman"/>
          <w:b/>
          <w:sz w:val="28"/>
          <w:szCs w:val="28"/>
        </w:rPr>
        <w:t>Carlomagno</w:t>
      </w:r>
      <w:proofErr w:type="spellEnd"/>
    </w:p>
    <w:p w:rsidR="009C008A" w:rsidRDefault="009C00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C5377" w:rsidRPr="009C008A" w:rsidRDefault="008C5377" w:rsidP="009C008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008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INDICE DOCUMENTAZIONE SECONDA GIORNATA</w:t>
      </w:r>
    </w:p>
    <w:p w:rsidR="008C5377" w:rsidRPr="009C008A" w:rsidRDefault="008C5377" w:rsidP="009C0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EB" w:rsidRPr="009C008A" w:rsidRDefault="00051CAD" w:rsidP="009C0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8A">
        <w:rPr>
          <w:rFonts w:ascii="Times New Roman" w:hAnsi="Times New Roman" w:cs="Times New Roman"/>
          <w:b/>
          <w:sz w:val="28"/>
          <w:szCs w:val="28"/>
        </w:rPr>
        <w:t>M</w:t>
      </w:r>
      <w:r w:rsidR="001011EB" w:rsidRPr="009C008A">
        <w:rPr>
          <w:rFonts w:ascii="Times New Roman" w:hAnsi="Times New Roman" w:cs="Times New Roman"/>
          <w:b/>
          <w:sz w:val="28"/>
          <w:szCs w:val="28"/>
        </w:rPr>
        <w:t>ercoledì 12 novembre 2014</w:t>
      </w:r>
    </w:p>
    <w:p w:rsidR="003B3C19" w:rsidRPr="009C008A" w:rsidRDefault="003B3C19" w:rsidP="009C0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8" w:rsidRPr="009C008A" w:rsidRDefault="00BE4528" w:rsidP="009C0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EB" w:rsidRPr="009C008A" w:rsidRDefault="001011EB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 mezzi di pagamento: carte di credito, bancomat e bonifici bancari</w:t>
      </w:r>
    </w:p>
    <w:p w:rsidR="003D275D" w:rsidRPr="009C008A" w:rsidRDefault="003D275D" w:rsidP="00D14502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Prof. Avv. Ugo </w:t>
      </w:r>
      <w:proofErr w:type="spellStart"/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Minneci</w:t>
      </w:r>
      <w:proofErr w:type="spellEnd"/>
    </w:p>
    <w:p w:rsidR="001011EB" w:rsidRPr="009C008A" w:rsidRDefault="001011EB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1EB" w:rsidRPr="009C008A" w:rsidRDefault="001011EB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Il contratto di mutuo</w:t>
      </w:r>
      <w:r w:rsidR="003D275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</w:t>
      </w:r>
      <w:r w:rsidR="006A01EF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l’ipoteca</w:t>
      </w:r>
      <w:r w:rsidR="003D275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011EB" w:rsidRPr="009C008A" w:rsidRDefault="00ED34F2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Avv. Antonio Petraglia</w:t>
      </w:r>
    </w:p>
    <w:p w:rsidR="001011EB" w:rsidRPr="009C008A" w:rsidRDefault="001011EB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1EB" w:rsidRPr="009C008A" w:rsidRDefault="001011EB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Il</w:t>
      </w:r>
      <w:r w:rsidR="007C0683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pegno</w:t>
      </w:r>
      <w:r w:rsidR="00622E45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: riscossione di interessi e prestazioni periodiche; condizioni di realizzo e criteri di valutazione stabiliti contrattualmente</w:t>
      </w:r>
    </w:p>
    <w:p w:rsidR="007A4EFC" w:rsidRPr="009C008A" w:rsidRDefault="007A4EFC" w:rsidP="00D14502">
      <w:pPr>
        <w:pStyle w:val="Paragrafoelenco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Avv. Filippo Caso’</w:t>
      </w:r>
    </w:p>
    <w:p w:rsidR="001011EB" w:rsidRPr="009C008A" w:rsidRDefault="001011EB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9C008A" w:rsidRDefault="00D14502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 fideiussione e le altre forme di garanzia personale</w:t>
      </w:r>
    </w:p>
    <w:p w:rsidR="00D14502" w:rsidRPr="009C008A" w:rsidRDefault="00D14502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Avv.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Francesco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Dimundo</w:t>
      </w:r>
      <w:proofErr w:type="spellEnd"/>
    </w:p>
    <w:p w:rsidR="00D14502" w:rsidRPr="009C008A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9C008A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5F3" w:rsidRPr="009C008A" w:rsidRDefault="003A15F3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La nullità a vantaggio del solo cliente</w:t>
      </w:r>
    </w:p>
    <w:p w:rsidR="003A15F3" w:rsidRPr="009C008A" w:rsidRDefault="007A000A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Prof. Avv. Matilde</w:t>
      </w:r>
      <w:r w:rsidR="003A15F3"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 Girolami</w:t>
      </w:r>
    </w:p>
    <w:p w:rsidR="00ED34F2" w:rsidRDefault="00ED34F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9C008A" w:rsidRDefault="00D14502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Gli orientamenti dell’ABF, dei Tribunali di merito e della Corte di Cassazione</w:t>
      </w:r>
    </w:p>
    <w:p w:rsidR="00D14502" w:rsidRPr="009C008A" w:rsidRDefault="00D14502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Avv.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Marina Santarelli</w:t>
      </w:r>
    </w:p>
    <w:p w:rsidR="00D14502" w:rsidRPr="009C008A" w:rsidRDefault="00D14502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Dott. Bruno Conca</w:t>
      </w:r>
    </w:p>
    <w:p w:rsidR="00D14502" w:rsidRPr="009C008A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D14502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E1B" w:rsidRDefault="00753E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C008A" w:rsidRDefault="009C008A" w:rsidP="009C00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INDICE DOCUMENTAZIONE TERZA GIORNATA</w:t>
      </w:r>
    </w:p>
    <w:p w:rsidR="009C008A" w:rsidRPr="009C008A" w:rsidRDefault="009C008A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1B" w:rsidRPr="009C008A" w:rsidRDefault="00051CAD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8A">
        <w:rPr>
          <w:rFonts w:ascii="Times New Roman" w:hAnsi="Times New Roman" w:cs="Times New Roman"/>
          <w:b/>
          <w:sz w:val="28"/>
          <w:szCs w:val="28"/>
        </w:rPr>
        <w:t>G</w:t>
      </w:r>
      <w:r w:rsidR="00753E1B" w:rsidRPr="009C008A">
        <w:rPr>
          <w:rFonts w:ascii="Times New Roman" w:hAnsi="Times New Roman" w:cs="Times New Roman"/>
          <w:b/>
          <w:sz w:val="28"/>
          <w:szCs w:val="28"/>
        </w:rPr>
        <w:t>iovedì 13 novembre 2014</w:t>
      </w:r>
    </w:p>
    <w:p w:rsidR="00753E1B" w:rsidRPr="009C008A" w:rsidRDefault="00753E1B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8" w:rsidRPr="009C008A" w:rsidRDefault="00BE4528" w:rsidP="009C0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1B" w:rsidRPr="009C008A" w:rsidRDefault="00753E1B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L’usura</w:t>
      </w:r>
      <w:r w:rsidR="00600830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9477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criteri di verifica del rispetto della soglia di usura nei rapporti di conto e nei contratti di finanziamento</w:t>
      </w:r>
    </w:p>
    <w:p w:rsidR="00753E1B" w:rsidRPr="009C008A" w:rsidRDefault="0069477D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Dott. Roberto Marcelli</w:t>
      </w:r>
    </w:p>
    <w:p w:rsidR="0069477D" w:rsidRPr="009C008A" w:rsidRDefault="0069477D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77D" w:rsidRPr="009C008A" w:rsidRDefault="0069477D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La ripetizione dell’indebito dopo la sentenza della Corte di Cassazione n. 24418/2010: le problematiche tecniche di calcolo</w:t>
      </w:r>
    </w:p>
    <w:p w:rsidR="0069477D" w:rsidRPr="009C008A" w:rsidRDefault="0069477D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Dott. Roberto Marcelli</w:t>
      </w:r>
    </w:p>
    <w:p w:rsidR="00753E1B" w:rsidRPr="009C008A" w:rsidRDefault="00753E1B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E1B" w:rsidRPr="009C008A" w:rsidRDefault="00753E1B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L’anatocismo</w:t>
      </w:r>
      <w:r w:rsidR="00051CA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: nuova formulazione dell’art. 120 TUB e gestione del duplice conteggio del saldo di conto</w:t>
      </w:r>
    </w:p>
    <w:p w:rsidR="00753E1B" w:rsidRPr="009C008A" w:rsidRDefault="004D30F4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Prof. Mario Comana</w:t>
      </w:r>
    </w:p>
    <w:p w:rsidR="00753E1B" w:rsidRPr="009C008A" w:rsidRDefault="00753E1B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E1B" w:rsidRPr="009C008A" w:rsidRDefault="00753E1B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La commissione di massimo scoperto</w:t>
      </w:r>
      <w:r w:rsidR="00051CA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(CMS) e di messa a disposizione (CMD)</w:t>
      </w:r>
    </w:p>
    <w:p w:rsidR="00753E1B" w:rsidRPr="009C008A" w:rsidRDefault="007A000A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Avv. </w:t>
      </w:r>
      <w:r w:rsidR="006F73CD" w:rsidRPr="009C008A">
        <w:rPr>
          <w:rFonts w:ascii="Times New Roman" w:eastAsia="Times New Roman" w:hAnsi="Times New Roman" w:cs="Times New Roman"/>
          <w:b/>
          <w:sz w:val="28"/>
          <w:szCs w:val="28"/>
        </w:rPr>
        <w:t xml:space="preserve">Valerio </w:t>
      </w:r>
      <w:proofErr w:type="spellStart"/>
      <w:r w:rsidR="006F73CD" w:rsidRPr="009C008A">
        <w:rPr>
          <w:rFonts w:ascii="Times New Roman" w:eastAsia="Times New Roman" w:hAnsi="Times New Roman" w:cs="Times New Roman"/>
          <w:b/>
          <w:sz w:val="28"/>
          <w:szCs w:val="28"/>
        </w:rPr>
        <w:t>Sangiovanni</w:t>
      </w:r>
      <w:proofErr w:type="spellEnd"/>
    </w:p>
    <w:p w:rsidR="00753E1B" w:rsidRPr="009C008A" w:rsidRDefault="00753E1B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9C008A" w:rsidRDefault="00D14502" w:rsidP="00D14502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ruolo del CTU e del CTP nei riscontri tecnici</w:t>
      </w:r>
      <w:bookmarkStart w:id="0" w:name="_GoBack"/>
      <w:bookmarkEnd w:id="0"/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14502" w:rsidRPr="009C008A" w:rsidRDefault="00D14502" w:rsidP="00D1450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Dott. Sergio Paris</w:t>
      </w:r>
    </w:p>
    <w:p w:rsidR="00D14502" w:rsidRPr="009C008A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502" w:rsidRPr="009C008A" w:rsidRDefault="00D14502" w:rsidP="00D145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E1B" w:rsidRPr="009C008A" w:rsidRDefault="00753E1B" w:rsidP="009C008A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I contratti derivati</w:t>
      </w:r>
      <w:r w:rsidR="004D30F4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, l’usura</w:t>
      </w: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la prestazione di servizi di investimento</w:t>
      </w:r>
      <w:r w:rsidR="004D30F4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: profili penali nelle recenti indagini giudiziarie</w:t>
      </w:r>
    </w:p>
    <w:p w:rsidR="00753E1B" w:rsidRPr="009C008A" w:rsidRDefault="004D30F4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Avv. Guglielmo Giordanengo</w:t>
      </w:r>
    </w:p>
    <w:p w:rsidR="0069477D" w:rsidRPr="009C008A" w:rsidRDefault="0069477D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8A" w:rsidRPr="009C008A" w:rsidRDefault="009C008A" w:rsidP="009C00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E1B" w:rsidRPr="009C008A" w:rsidRDefault="008B008A" w:rsidP="009C008A">
      <w:pPr>
        <w:pStyle w:val="Paragrafoelenco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Le decisioni </w:t>
      </w:r>
      <w:r w:rsidR="00755CD2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della Corte di Appello</w:t>
      </w:r>
      <w:r w:rsidR="00753E1B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della Corte </w:t>
      </w:r>
      <w:r w:rsidR="00051CAD" w:rsidRPr="009C008A">
        <w:rPr>
          <w:rFonts w:ascii="Times New Roman" w:eastAsia="Times New Roman" w:hAnsi="Times New Roman" w:cs="Times New Roman"/>
          <w:b/>
          <w:bCs/>
          <w:sz w:val="28"/>
          <w:szCs w:val="28"/>
        </w:rPr>
        <w:t>di Cassazione</w:t>
      </w:r>
    </w:p>
    <w:p w:rsidR="00753E1B" w:rsidRPr="009C008A" w:rsidRDefault="004D30F4" w:rsidP="009C00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08A">
        <w:rPr>
          <w:rFonts w:ascii="Times New Roman" w:eastAsia="Times New Roman" w:hAnsi="Times New Roman" w:cs="Times New Roman"/>
          <w:b/>
          <w:sz w:val="28"/>
          <w:szCs w:val="28"/>
        </w:rPr>
        <w:t>Dott. Carla Romana Raineri</w:t>
      </w:r>
    </w:p>
    <w:p w:rsidR="00967BE1" w:rsidRDefault="00967BE1" w:rsidP="00753E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7B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75" w:rsidRDefault="00DB4775" w:rsidP="007F5434">
      <w:pPr>
        <w:spacing w:after="0" w:line="240" w:lineRule="auto"/>
      </w:pPr>
      <w:r>
        <w:separator/>
      </w:r>
    </w:p>
  </w:endnote>
  <w:endnote w:type="continuationSeparator" w:id="0">
    <w:p w:rsidR="00DB4775" w:rsidRDefault="00DB4775" w:rsidP="007F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C1" w:rsidRDefault="00EA47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7A" w:rsidRDefault="00E2167A">
    <w:pPr>
      <w:pStyle w:val="Pidipagina"/>
      <w:jc w:val="center"/>
    </w:pPr>
  </w:p>
  <w:p w:rsidR="007F5434" w:rsidRDefault="007F54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C1" w:rsidRDefault="00EA47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75" w:rsidRDefault="00DB4775" w:rsidP="007F5434">
      <w:pPr>
        <w:spacing w:after="0" w:line="240" w:lineRule="auto"/>
      </w:pPr>
      <w:r>
        <w:separator/>
      </w:r>
    </w:p>
  </w:footnote>
  <w:footnote w:type="continuationSeparator" w:id="0">
    <w:p w:rsidR="00DB4775" w:rsidRDefault="00DB4775" w:rsidP="007F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C1" w:rsidRDefault="00D145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60" o:spid="_x0000_s2050" type="#_x0000_t136" style="position:absolute;margin-left:0;margin-top:0;width:597.75pt;height:81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Synergia Formazione s.r.l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C1" w:rsidRDefault="00D145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61" o:spid="_x0000_s2051" type="#_x0000_t136" style="position:absolute;margin-left:0;margin-top:0;width:597.75pt;height:81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Synergia Formazione s.r.l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C1" w:rsidRDefault="00D145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59" o:spid="_x0000_s2049" type="#_x0000_t136" style="position:absolute;margin-left:0;margin-top:0;width:597.75pt;height:81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Synergia Formazione s.r.l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476"/>
    <w:multiLevelType w:val="hybridMultilevel"/>
    <w:tmpl w:val="31CEFC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0C30"/>
    <w:multiLevelType w:val="hybridMultilevel"/>
    <w:tmpl w:val="63E84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20E6"/>
    <w:multiLevelType w:val="hybridMultilevel"/>
    <w:tmpl w:val="B9906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35CB2"/>
    <w:multiLevelType w:val="hybridMultilevel"/>
    <w:tmpl w:val="B46ADEBE"/>
    <w:lvl w:ilvl="0" w:tplc="380A69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8F2AF6"/>
    <w:multiLevelType w:val="hybridMultilevel"/>
    <w:tmpl w:val="D48A4F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F20FE8"/>
    <w:multiLevelType w:val="hybridMultilevel"/>
    <w:tmpl w:val="AB823E9A"/>
    <w:lvl w:ilvl="0" w:tplc="BE682E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16CC5"/>
    <w:multiLevelType w:val="hybridMultilevel"/>
    <w:tmpl w:val="13AAD9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775BF"/>
    <w:multiLevelType w:val="hybridMultilevel"/>
    <w:tmpl w:val="B6C09748"/>
    <w:lvl w:ilvl="0" w:tplc="130AE13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A0"/>
    <w:rsid w:val="00003760"/>
    <w:rsid w:val="000435E7"/>
    <w:rsid w:val="00051CAD"/>
    <w:rsid w:val="00051EC9"/>
    <w:rsid w:val="000553DA"/>
    <w:rsid w:val="00061B72"/>
    <w:rsid w:val="000659A3"/>
    <w:rsid w:val="000B3DA7"/>
    <w:rsid w:val="000C0856"/>
    <w:rsid w:val="000D75B4"/>
    <w:rsid w:val="000E4A34"/>
    <w:rsid w:val="001011EB"/>
    <w:rsid w:val="00120A54"/>
    <w:rsid w:val="00136601"/>
    <w:rsid w:val="00145521"/>
    <w:rsid w:val="001515E1"/>
    <w:rsid w:val="001636A0"/>
    <w:rsid w:val="00166B33"/>
    <w:rsid w:val="00174DF1"/>
    <w:rsid w:val="001848FA"/>
    <w:rsid w:val="001A29D5"/>
    <w:rsid w:val="001E3C5D"/>
    <w:rsid w:val="001E6DCB"/>
    <w:rsid w:val="002218E9"/>
    <w:rsid w:val="0022747D"/>
    <w:rsid w:val="0024568F"/>
    <w:rsid w:val="00257757"/>
    <w:rsid w:val="00286C9C"/>
    <w:rsid w:val="002E3048"/>
    <w:rsid w:val="00316A9E"/>
    <w:rsid w:val="00327C32"/>
    <w:rsid w:val="00331BCC"/>
    <w:rsid w:val="00335AB0"/>
    <w:rsid w:val="00382E5D"/>
    <w:rsid w:val="003A15F3"/>
    <w:rsid w:val="003B3C19"/>
    <w:rsid w:val="003C0FB2"/>
    <w:rsid w:val="003D275D"/>
    <w:rsid w:val="003E2FF7"/>
    <w:rsid w:val="003F40D9"/>
    <w:rsid w:val="004019B4"/>
    <w:rsid w:val="004051FF"/>
    <w:rsid w:val="004053B4"/>
    <w:rsid w:val="0042038B"/>
    <w:rsid w:val="004366CB"/>
    <w:rsid w:val="004433AB"/>
    <w:rsid w:val="00450D0C"/>
    <w:rsid w:val="00463A88"/>
    <w:rsid w:val="0047127C"/>
    <w:rsid w:val="00483629"/>
    <w:rsid w:val="004B0158"/>
    <w:rsid w:val="004C4C64"/>
    <w:rsid w:val="004D30F4"/>
    <w:rsid w:val="004F5EAE"/>
    <w:rsid w:val="00522EA4"/>
    <w:rsid w:val="0055773B"/>
    <w:rsid w:val="005622C1"/>
    <w:rsid w:val="00593B6E"/>
    <w:rsid w:val="005A1C14"/>
    <w:rsid w:val="005A4291"/>
    <w:rsid w:val="005B4C65"/>
    <w:rsid w:val="005E5910"/>
    <w:rsid w:val="00600830"/>
    <w:rsid w:val="00606ECF"/>
    <w:rsid w:val="006114EE"/>
    <w:rsid w:val="006166C7"/>
    <w:rsid w:val="00621AB9"/>
    <w:rsid w:val="00622E45"/>
    <w:rsid w:val="00673A4B"/>
    <w:rsid w:val="0069477D"/>
    <w:rsid w:val="006A01EF"/>
    <w:rsid w:val="006B5C79"/>
    <w:rsid w:val="006C6D1E"/>
    <w:rsid w:val="006F5D26"/>
    <w:rsid w:val="006F73CD"/>
    <w:rsid w:val="00717EC0"/>
    <w:rsid w:val="0072763E"/>
    <w:rsid w:val="00731A80"/>
    <w:rsid w:val="00753E1B"/>
    <w:rsid w:val="00755CD2"/>
    <w:rsid w:val="007818C8"/>
    <w:rsid w:val="007A000A"/>
    <w:rsid w:val="007A4EFC"/>
    <w:rsid w:val="007C0683"/>
    <w:rsid w:val="007D498C"/>
    <w:rsid w:val="007D51BC"/>
    <w:rsid w:val="007F2B1B"/>
    <w:rsid w:val="007F5434"/>
    <w:rsid w:val="007F68F3"/>
    <w:rsid w:val="00847761"/>
    <w:rsid w:val="0086006D"/>
    <w:rsid w:val="008659E3"/>
    <w:rsid w:val="0088507E"/>
    <w:rsid w:val="008B008A"/>
    <w:rsid w:val="008C5377"/>
    <w:rsid w:val="00911DCC"/>
    <w:rsid w:val="00921007"/>
    <w:rsid w:val="009219D5"/>
    <w:rsid w:val="00963E16"/>
    <w:rsid w:val="00967BE1"/>
    <w:rsid w:val="009709DF"/>
    <w:rsid w:val="009C008A"/>
    <w:rsid w:val="009D59E7"/>
    <w:rsid w:val="009E004E"/>
    <w:rsid w:val="00A10BB0"/>
    <w:rsid w:val="00A300DE"/>
    <w:rsid w:val="00A40F0A"/>
    <w:rsid w:val="00A63F4D"/>
    <w:rsid w:val="00A80E78"/>
    <w:rsid w:val="00AA4752"/>
    <w:rsid w:val="00AA68CB"/>
    <w:rsid w:val="00AB0294"/>
    <w:rsid w:val="00AE6FAE"/>
    <w:rsid w:val="00AF0A53"/>
    <w:rsid w:val="00B00D92"/>
    <w:rsid w:val="00B61EDA"/>
    <w:rsid w:val="00B631E0"/>
    <w:rsid w:val="00B90F92"/>
    <w:rsid w:val="00BE301F"/>
    <w:rsid w:val="00BE3832"/>
    <w:rsid w:val="00BE4528"/>
    <w:rsid w:val="00C0613C"/>
    <w:rsid w:val="00C06994"/>
    <w:rsid w:val="00C139F6"/>
    <w:rsid w:val="00C17416"/>
    <w:rsid w:val="00C421F7"/>
    <w:rsid w:val="00C81076"/>
    <w:rsid w:val="00C828DF"/>
    <w:rsid w:val="00C85B1B"/>
    <w:rsid w:val="00C9431F"/>
    <w:rsid w:val="00CB4EFA"/>
    <w:rsid w:val="00CD5D1D"/>
    <w:rsid w:val="00CE15D8"/>
    <w:rsid w:val="00D14502"/>
    <w:rsid w:val="00D3168D"/>
    <w:rsid w:val="00D37556"/>
    <w:rsid w:val="00D4571F"/>
    <w:rsid w:val="00D5204C"/>
    <w:rsid w:val="00DA0937"/>
    <w:rsid w:val="00DA36D4"/>
    <w:rsid w:val="00DB4775"/>
    <w:rsid w:val="00DC339F"/>
    <w:rsid w:val="00DD3192"/>
    <w:rsid w:val="00DF4DFC"/>
    <w:rsid w:val="00E14D53"/>
    <w:rsid w:val="00E2167A"/>
    <w:rsid w:val="00E44084"/>
    <w:rsid w:val="00E70A6D"/>
    <w:rsid w:val="00E821E8"/>
    <w:rsid w:val="00E84888"/>
    <w:rsid w:val="00E84E62"/>
    <w:rsid w:val="00EA39A9"/>
    <w:rsid w:val="00EA47C1"/>
    <w:rsid w:val="00EA6D6E"/>
    <w:rsid w:val="00EC4120"/>
    <w:rsid w:val="00ED0E09"/>
    <w:rsid w:val="00ED34F2"/>
    <w:rsid w:val="00F57340"/>
    <w:rsid w:val="00F627A4"/>
    <w:rsid w:val="00F74488"/>
    <w:rsid w:val="00FA66E1"/>
    <w:rsid w:val="00FD221F"/>
    <w:rsid w:val="00FE349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EC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A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0937"/>
    <w:rPr>
      <w:b/>
      <w:bCs/>
    </w:rPr>
  </w:style>
  <w:style w:type="character" w:styleId="Enfasicorsivo">
    <w:name w:val="Emphasis"/>
    <w:basedOn w:val="Carpredefinitoparagrafo"/>
    <w:uiPriority w:val="20"/>
    <w:qFormat/>
    <w:rsid w:val="00673A4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434"/>
  </w:style>
  <w:style w:type="paragraph" w:styleId="Pidipagina">
    <w:name w:val="footer"/>
    <w:basedOn w:val="Normale"/>
    <w:link w:val="PidipaginaCarattere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1E0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A36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EC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A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0937"/>
    <w:rPr>
      <w:b/>
      <w:bCs/>
    </w:rPr>
  </w:style>
  <w:style w:type="character" w:styleId="Enfasicorsivo">
    <w:name w:val="Emphasis"/>
    <w:basedOn w:val="Carpredefinitoparagrafo"/>
    <w:uiPriority w:val="20"/>
    <w:qFormat/>
    <w:rsid w:val="00673A4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434"/>
  </w:style>
  <w:style w:type="paragraph" w:styleId="Pidipagina">
    <w:name w:val="footer"/>
    <w:basedOn w:val="Normale"/>
    <w:link w:val="PidipaginaCarattere"/>
    <w:unhideWhenUsed/>
    <w:rsid w:val="007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1E0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A3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ynergiaconsulting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ynergiaformazio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ynergiaformazione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rcadia-consulting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8C2A-7721-46F4-87F8-41834EA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CHIOMENTI Studio Legale</dc:creator>
  <cp:lastModifiedBy>Armanda Moroni</cp:lastModifiedBy>
  <cp:revision>5</cp:revision>
  <cp:lastPrinted>2014-07-04T13:18:00Z</cp:lastPrinted>
  <dcterms:created xsi:type="dcterms:W3CDTF">2014-11-07T08:30:00Z</dcterms:created>
  <dcterms:modified xsi:type="dcterms:W3CDTF">2014-11-17T08:47:00Z</dcterms:modified>
</cp:coreProperties>
</file>